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1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 w14:paraId="050B2FFD">
      <w:pPr>
        <w:pStyle w:val="11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 xml:space="preserve"> </w:t>
      </w:r>
    </w:p>
    <w:p w14:paraId="2EC4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/>
          <w:sz w:val="32"/>
          <w:szCs w:val="44"/>
          <w:lang w:val="en-US" w:eastAsia="zh-CN"/>
        </w:rPr>
      </w:pPr>
    </w:p>
    <w:p w14:paraId="18AA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szCs w:val="44"/>
          <w:lang w:val="en-US" w:eastAsia="zh-CN"/>
        </w:rPr>
      </w:pPr>
      <w:r>
        <w:rPr>
          <w:rFonts w:hint="eastAsia" w:ascii="楷体_GB2312" w:hAnsi="楷体_GB2312" w:eastAsia="楷体_GB2312"/>
          <w:sz w:val="32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44"/>
          <w:lang w:val="en-US" w:eastAsia="zh-CN"/>
        </w:rPr>
        <w:t xml:space="preserve">  </w:t>
      </w:r>
    </w:p>
    <w:p w14:paraId="76C3197C">
      <w:pPr>
        <w:pStyle w:val="11"/>
        <w:ind w:left="0" w:leftChars="0" w:firstLine="0" w:firstLineChars="0"/>
        <w:rPr>
          <w:rFonts w:hint="eastAsia" w:ascii="仿宋_GB2312" w:hAnsi="仿宋_GB2312" w:eastAsia="仿宋_GB2312"/>
          <w:sz w:val="32"/>
          <w:szCs w:val="44"/>
          <w:lang w:val="en-US" w:eastAsia="zh-CN"/>
        </w:rPr>
      </w:pPr>
    </w:p>
    <w:p w14:paraId="1ACE2026">
      <w:pPr>
        <w:pStyle w:val="13"/>
        <w:rPr>
          <w:rFonts w:hint="eastAsia"/>
          <w:color w:val="auto"/>
          <w:lang w:val="en-US" w:eastAsia="zh-CN"/>
        </w:rPr>
      </w:pPr>
    </w:p>
    <w:p w14:paraId="6981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9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44"/>
          <w:lang w:val="en-US" w:eastAsia="zh-CN"/>
        </w:rPr>
        <w:t xml:space="preserve">  </w:t>
      </w:r>
    </w:p>
    <w:p w14:paraId="4C7569A7">
      <w:pPr>
        <w:pStyle w:val="2"/>
        <w:rPr>
          <w:rFonts w:hint="eastAsia" w:ascii="仿宋_GB2312" w:hAnsi="仿宋_GB2312" w:eastAsia="仿宋_GB2312"/>
          <w:color w:val="auto"/>
          <w:sz w:val="32"/>
          <w:szCs w:val="44"/>
          <w:lang w:val="en-US" w:eastAsia="zh-CN"/>
        </w:rPr>
      </w:pPr>
    </w:p>
    <w:p w14:paraId="5A83A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baseline"/>
        <w:rPr>
          <w:rFonts w:hint="eastAsia" w:ascii="仿宋_GB2312" w:hAnsi="仿宋_GB2312" w:eastAsia="仿宋_GB2312"/>
          <w:color w:val="auto"/>
          <w:sz w:val="32"/>
          <w:szCs w:val="44"/>
          <w:lang w:val="en-US" w:eastAsia="zh-CN"/>
        </w:rPr>
      </w:pPr>
    </w:p>
    <w:p w14:paraId="3ECB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3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/>
          <w:color w:val="auto"/>
          <w:sz w:val="32"/>
          <w:szCs w:val="44"/>
          <w:lang w:val="en-US" w:eastAsia="zh-CN"/>
        </w:rPr>
      </w:pPr>
    </w:p>
    <w:p w14:paraId="078F1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8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44"/>
          <w:lang w:eastAsia="zh-CN"/>
        </w:rPr>
        <w:t>藏民发〔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44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44"/>
          <w:lang w:eastAsia="zh-CN"/>
        </w:rPr>
        <w:t>〕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44"/>
          <w:lang w:val="en-US" w:eastAsia="zh-CN"/>
        </w:rPr>
        <w:t>29号</w:t>
      </w:r>
    </w:p>
    <w:p w14:paraId="7EEA4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</w:p>
    <w:p w14:paraId="1CC23EB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西藏自治区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“福彩圆梦·孤儿</w:t>
      </w:r>
    </w:p>
    <w:p w14:paraId="61551A9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助学工程”项目实施细则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》的通知</w:t>
      </w:r>
    </w:p>
    <w:p w14:paraId="31C98C81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</w:p>
    <w:p w14:paraId="7F03D24B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各地（市）民政局，西藏儿童福利院：</w:t>
      </w:r>
    </w:p>
    <w:p w14:paraId="27D2FBE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现将《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西藏自治区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“福彩圆梦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孤儿助学工程”项目实施细则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》印发给你们，请结合实际，认真贯彻执行。</w:t>
      </w:r>
    </w:p>
    <w:p w14:paraId="321B0D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 w14:paraId="40383A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132" w:firstLineChars="1604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西藏自治区民政厅</w:t>
      </w:r>
    </w:p>
    <w:p w14:paraId="6F1A207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132" w:firstLineChars="1604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2024年3月25日</w:t>
      </w:r>
    </w:p>
    <w:p w14:paraId="661724C6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</w:p>
    <w:p w14:paraId="4BB5FE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2DDF083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633D04F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2D69F7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4799AF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5AFABE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0B447A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19638F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582C01D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5043812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4FFD4C3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7FFD67F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642032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2CD05E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3C67F7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0A9E9C5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13D6F1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01E71E6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690282E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3B284D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 w14:paraId="776A0C2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Style w:val="15"/>
          <w:rFonts w:hint="eastAsia" w:ascii="CESI仿宋-GB2312" w:hAnsi="CESI仿宋-GB2312" w:eastAsia="CESI仿宋-GB2312" w:cs="CESI仿宋-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/>
        </w:rPr>
      </w:pPr>
      <w:r>
        <w:rPr>
          <w:rStyle w:val="15"/>
          <w:rFonts w:hint="eastAsia" w:ascii="CESI仿宋-GB2312" w:hAnsi="CESI仿宋-GB2312" w:eastAsia="CESI仿宋-GB2312" w:cs="CESI仿宋-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 w14:paraId="657823D9">
      <w:pPr>
        <w:pStyle w:val="4"/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Style w:val="15"/>
          <w:rFonts w:hint="eastAsia" w:ascii="CESI仿宋-GB2312" w:hAnsi="CESI仿宋-GB2312" w:eastAsia="CESI仿宋-GB2312" w:cs="CESI仿宋-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Style w:val="15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/>
        </w:rPr>
        <w:t xml:space="preserve"> 西藏自治区民政厅办公室           </w:t>
      </w:r>
      <w:r>
        <w:rPr>
          <w:rStyle w:val="15"/>
          <w:rFonts w:hint="eastAsia" w:cs="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/>
        </w:rPr>
        <w:t xml:space="preserve">       </w:t>
      </w:r>
      <w:r>
        <w:rPr>
          <w:rStyle w:val="15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/>
        </w:rPr>
        <w:t xml:space="preserve">2024年3月25日印发 </w:t>
      </w:r>
      <w:r>
        <w:rPr>
          <w:rStyle w:val="15"/>
          <w:rFonts w:hint="eastAsia" w:cs="仿宋_GB2312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u w:val="single"/>
          <w:lang w:val="en-US" w:eastAsia="zh-CN"/>
        </w:rPr>
        <w:t xml:space="preserve"> </w:t>
      </w:r>
    </w:p>
    <w:p w14:paraId="0190EBF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西藏自治区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“福彩圆梦·孤儿助学</w:t>
      </w:r>
    </w:p>
    <w:p w14:paraId="61F304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工程”项目实施细则</w:t>
      </w:r>
    </w:p>
    <w:p w14:paraId="56E997A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88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1AA1EB6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为加强“福彩圆梦·孤儿助学工程”（以下简称“助学工程”）项目管理，规范组织流程和资金使用，确保项目质量和实施效果，根据《民政部办公厅关于印发〈“福彩圆梦·孤儿助学工程”项目实施暂行办法〉的通知》（民办发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2019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，结合我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实际，制定本实施细则。</w:t>
      </w:r>
    </w:p>
    <w:p w14:paraId="5DC9A27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一、项目资助对象和资助标准</w:t>
      </w:r>
    </w:p>
    <w:p w14:paraId="57A6043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“助学工程”项目是由民政部组织，县级以上地方人民政府民政部门具体实施，彩票公益金支持，面向孤儿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开展的助学项目。资助对象为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已被认定为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在普通全日制本科学校、普通全日制专科学校、高等职业学校等高等院校及中等职业学校就读的中专、大专、本科学生和硕士研究生。</w:t>
      </w:r>
    </w:p>
    <w:p w14:paraId="7B008F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“助学工程”资助方式是为上述在校孤儿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发放相关补助费用，资助标准为每人每学年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万元助学金，资助时限为孤儿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入学就读期间。</w:t>
      </w:r>
    </w:p>
    <w:p w14:paraId="48F14D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民政部门可拓展“助学工程”资助对象范围，提高资助标准，所用资金应为地方资金。</w:t>
      </w:r>
    </w:p>
    <w:p w14:paraId="7CC716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二、助学金办理流程</w:t>
      </w:r>
    </w:p>
    <w:p w14:paraId="2B7D201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（一）申请。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由孤儿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本人提出助学金申请，在一个完整的受助期间内无须重复申请。散居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向户籍所在地的县级民政部门或乡镇人民政府（街道办事处）提出申请，孤儿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、机构临时监护事实无人抚养儿童由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收留抚养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儿童福利机构向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所属民政部门提出申请。</w:t>
      </w:r>
    </w:p>
    <w:p w14:paraId="4C3F0A5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符合条件的孤儿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申请助学金，应当提供本人以下材料：</w:t>
      </w:r>
    </w:p>
    <w:p w14:paraId="0168568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“福彩圆梦·孤儿助学工程”助学金申请表（见附件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）；</w:t>
      </w:r>
    </w:p>
    <w:p w14:paraId="07EEF08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身份证复印件；</w:t>
      </w:r>
    </w:p>
    <w:p w14:paraId="60DD935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录取通知书复印件；</w:t>
      </w:r>
    </w:p>
    <w:p w14:paraId="0360830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在校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证明（申请助学金时所在学期内出具）；</w:t>
      </w:r>
    </w:p>
    <w:p w14:paraId="7BD62B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银行卡复印件。</w:t>
      </w:r>
    </w:p>
    <w:p w14:paraId="49FF8C2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（二）受理。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、机构临时监护事实无人抚养儿童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助学金申请由福利机构所属民政部门受理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。西藏儿童福利院孤儿助学金申请由该院受理。</w:t>
      </w:r>
    </w:p>
    <w:p w14:paraId="5B73F6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散居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的助学金申请由户籍所在地的县级民政部门或乡镇人民政府（街道办事处）受理。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散居事实无人抚养儿童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向乡镇人民政府（街道办事处）提出申请的，乡镇人民政府（街道办事处）应当于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个工作日内报县级民政部门。</w:t>
      </w:r>
    </w:p>
    <w:p w14:paraId="552C7F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（三）确认。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受理孤儿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助学金申请的民政部门应当于收到申请后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个工作日内，通过材料核实、家庭巡访、数据比对等方式完成孤儿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身份、户籍、学籍等信息的核实确认。孤儿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身份信息应当通过“全国儿童福利信息系统”核实确认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6C44F81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经核实确认，符合条件的孤儿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应当及时纳入“助学工程”；不符合条件的孤儿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，受理申请的民政部门应作出不予纳入“助学工程”的决定，并于作出决定后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个工作日内书面告知孤儿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本人并载明原因。</w:t>
      </w:r>
    </w:p>
    <w:p w14:paraId="0E8A9ED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身份、户籍、学籍等信息核实情况材料纳入“助学工程”档案材料管理。</w:t>
      </w:r>
    </w:p>
    <w:p w14:paraId="26DAED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（四）发放。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民政部门应及时为纳入“助学工程”的孤儿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发放助学金。</w:t>
      </w:r>
    </w:p>
    <w:p w14:paraId="194B7A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发放方式。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助学金应当通过社会化方式发放。各地民政部门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采取按月或按季度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发放方式，将助学金发放到受助孤儿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申请助学金时所提供的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银行卡。</w:t>
      </w:r>
    </w:p>
    <w:p w14:paraId="04227F1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2.首次发放。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助学金从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入学当月开始发放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24A0A59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.几种特殊情况的发放。</w:t>
      </w:r>
    </w:p>
    <w:p w14:paraId="736AF1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）在校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应征入伍。应征入伍前已经申领并发放助学金的，自入伍的次月起暂停发放；退役后继续就读的，从退出现役的次月起续发助学金至毕业。应征入伍前尚未申领孤儿助学金的，孤儿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退出现役后继续就读的，民政部门应于孤儿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退出现役的次月起给予发放助学金，并协助孤儿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及时履行申请孤儿助学金的相关手续。</w:t>
      </w:r>
    </w:p>
    <w:p w14:paraId="5911EEE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）在校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因病休学。因病休学前申领并发放助学金的，休学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继续按原标准发放。</w:t>
      </w:r>
    </w:p>
    <w:p w14:paraId="467216F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）在校学生中途辍学。辍学前申领发放孤儿助学金的，辍学后次月起停止发放助学金，复学后次月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起给予发放助学金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398AFDD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）在校学生因故父母双亡。在普通全日制本科学校、普通全日制专科学校、高等职业学校等高等院校及中等职业学校就读且已经年满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周岁的中专、大专、本科学生和硕士研究生，因故父母双亡的，可按规定申领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，民政部门应当予以受理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、确认，并参照孤儿、事实无人抚养儿童相关流程给予发放助学金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294FF49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（五）退出。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民政部门应当及时掌握孤儿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就学情况，孤儿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因毕业、退学等原因不再就读的，应当及时退出“助学工程”。</w:t>
      </w:r>
    </w:p>
    <w:p w14:paraId="4428A3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（六）停发或取消享受资格。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在校期间应该遵守法律法规、《普通高等学校学生管理规定》（教育部令第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41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号）以及学校的校规校纪和学生日常行为规范，诚实守信。在校期间，有以下行为的应予以停发或取消享受助学金的资格：</w:t>
      </w:r>
    </w:p>
    <w:p w14:paraId="622EDC2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被公、检、法机关执行刑事拘留、强制隔离戒毒以及服刑在押等限制人身自由措施的，自被执行限制人身自由措施的次月起停发并取消享受助学金资格。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在校期间因违反法律法规、《普通高等学校学生管理规定》并受到取消学籍、退学、开除学籍处分的，自学校做出处分决定的次月起停发并取消享受助学金资格。</w:t>
      </w:r>
    </w:p>
    <w:p w14:paraId="50AF986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伪造材料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申请“助学工程”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项目助学金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多头申请“助学工程”项目助学金的，一经发现，立即取消其享受助学金资格，已发放的助学金由受理申请的民政部门负责追回，并通报其所在学校。</w:t>
      </w:r>
    </w:p>
    <w:p w14:paraId="35A672C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三、项目管理</w:t>
      </w:r>
    </w:p>
    <w:p w14:paraId="6B5687D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（一）密切跟踪掌握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儿童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就学情况。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民政部门应当通过多种途径和方式，向孤儿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宣传告知“助学工程”相关情况。县级民政部门应当持续跟踪，并指导乡镇人民政府（街道办事处）通过家庭巡访等方式主动了解散居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就学情况，儿童福利机构应当持续跟踪孤儿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、机构临时监护事实无人抚养儿童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的就学情况，及时为符合条件的孤儿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办理领取助学金手续，纳入“助学工程”。</w:t>
      </w:r>
    </w:p>
    <w:p w14:paraId="0C6E917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（二）做好资金测算、拨付和监管</w:t>
      </w:r>
    </w:p>
    <w:p w14:paraId="61B8A83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资金测算。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民政部门负责汇总本辖区内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散居事实无人抚养儿童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助学信息和补贴资金需求总额，编制资金使用申请和预算额度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；各儿童福利机构负责汇总本机构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、机构临时监护事实无人抚养儿童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助学信息和补贴资金需求总额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，报同级民政部门编制资金使用申请和预算额度；地（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民政部门于每年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汇总本地（市）助学儿童信息和补贴资金需求总额，编制资金使用申请和预算额度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厅。在编制当年资金使用预算时，对于上年度资金使用有余额的，应当结转下年使用，在预算申请中扣减上年度资金余额。对于上年度资金拨付不足的，应当追加不足部分，在预算申请中加上上年度资金不足部分。连续两年未用完的结转资金，应当作为结余资金管理。结转、结余资金按照相关规定管理。</w:t>
      </w:r>
    </w:p>
    <w:p w14:paraId="55F9E2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资金结算。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助学金结算年度为自然年度，每年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日前使用的助学金，列入本年度结算范围。</w:t>
      </w:r>
    </w:p>
    <w:p w14:paraId="5FD515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资金拨付。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“助学工程”补助资金按年度以每人每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万元的标准一次性下拨各地。收到拨付资金后，市、县级民政部门要协调财政部门，按规范的工作流程和资金使用计划，及时将助学金发放至受助孤儿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银行卡。</w:t>
      </w:r>
    </w:p>
    <w:p w14:paraId="2E5F65E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、资金监管。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“助学工程”补助资金应当实行专账核算，严禁与其他资金“打捆”使用。</w:t>
      </w:r>
    </w:p>
    <w:p w14:paraId="7AACF77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（三）规范受助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孤儿、事实无人抚养儿童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档案管理。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各地要建立完备的“助学工程”受助孤儿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档案库，做到“一人一档”，确保信息完整、有据可查。档案应当包括孤儿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基本信息、“福彩圆梦·孤儿助学工程”助学金申请表、身份证复印件、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录取通知书复印件、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学籍证明、银行卡复印件、身份和学籍等信息核实情况相关材料。</w:t>
      </w:r>
    </w:p>
    <w:p w14:paraId="44A57C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受助孤儿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的档案由受理孤儿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助学金申请并完成确认工作的民政部门负责管理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，西藏儿童福利院受助孤儿档案由该院负责管理。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纸质档案保管年限不低于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年。在建立纸质档案的同时，各地要依托“全国儿童福利信息系统”，建立电子档案，通过系统将本地受助孤儿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、事实无人抚养儿童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的信息完整、及时、准确上报。</w:t>
      </w:r>
    </w:p>
    <w:p w14:paraId="7E6BF89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（四）严格项目监督检查。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各级民政部门应当通过材料核实、家庭巡访、数据比对、电话抽查等多种方式，对项目实施情况开展检查、评估，确保项目实施效果，提高助学的精准性。</w:t>
      </w:r>
    </w:p>
    <w:p w14:paraId="17475CE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民政厅负责指导、监督全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“助学工程”实施工作。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民政部门应将“助学工程”作为儿童福利工作的重要内容之一，纳入本地区年度常态化工作部署，严格资金管理，规范工作流程和项目结账审核程序，加强项目监督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，按照《民政部彩票公益金使用管理信息公开办法》相关要求，做好信息公开工作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2F619E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地（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民政部门对本辖区项目执行情况和资金使用状况负责。县级民政部门每年对项目受助对象检查应当做到全覆盖，市级民政部门每年对项目受助对象抽查比例不低于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60%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F38BB4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民政部门及其工作人员违反本实施细则有关规定的，按照《财政违法行为处罚处分条例》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《民政部彩票公益金项目督查办法》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西藏自治区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彩票公益金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管理办法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》相关规定进行处理。</w:t>
      </w:r>
    </w:p>
    <w:p w14:paraId="0CFAE7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四、其他</w:t>
      </w:r>
    </w:p>
    <w:p w14:paraId="117C45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本实施细则自印发之日起实施。</w:t>
      </w:r>
    </w:p>
    <w:p w14:paraId="345973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9159C7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</w:p>
    <w:p w14:paraId="4FD8F76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“福彩圆梦·孤儿助学工程”助学金申请表</w:t>
      </w:r>
    </w:p>
    <w:p w14:paraId="0108277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“助学工程”受助孤儿信息汇总表</w:t>
      </w:r>
    </w:p>
    <w:p w14:paraId="2225AC6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地（市）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“助学工程”补助资金需求汇总表</w:t>
      </w:r>
    </w:p>
    <w:p w14:paraId="48542A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　　</w:t>
      </w:r>
    </w:p>
    <w:p w14:paraId="66E5EE8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default" w:ascii="å®‹ä½“" w:hAnsi="å®‹ä½“" w:eastAsia="å®‹ä½“" w:cs="å®‹ä½“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AE67AC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588BB0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B4E8BA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A6F52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6E7622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75B130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4CF33E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CB3708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8D6D82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84F3B7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371C0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74F50D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EEFAFA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780F7D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F48FFA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1</w:t>
      </w:r>
    </w:p>
    <w:p w14:paraId="466A7F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61FE96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“福彩圆梦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孤儿助学工程”助学金申请表</w:t>
      </w:r>
    </w:p>
    <w:p w14:paraId="7E9F257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" w:lineRule="atLeast"/>
        <w:ind w:left="0" w:right="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(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孤儿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、机构临时监护事实无人抚养儿童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 w14:paraId="1F93BE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383"/>
        <w:gridCol w:w="701"/>
        <w:gridCol w:w="482"/>
        <w:gridCol w:w="1047"/>
        <w:gridCol w:w="136"/>
        <w:gridCol w:w="669"/>
        <w:gridCol w:w="839"/>
        <w:gridCol w:w="810"/>
        <w:gridCol w:w="562"/>
        <w:gridCol w:w="276"/>
        <w:gridCol w:w="1715"/>
      </w:tblGrid>
      <w:tr w14:paraId="7C62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2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46D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儿童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基本情况</w:t>
            </w:r>
          </w:p>
        </w:tc>
      </w:tr>
      <w:tr w14:paraId="59A8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EB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D1F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6B6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BB2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FD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1E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E51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（1寸照片）</w:t>
            </w:r>
          </w:p>
        </w:tc>
      </w:tr>
      <w:tr w14:paraId="31AD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1E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FE3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9F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770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E7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7D84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60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48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B6F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CB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8C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9B6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22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552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38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41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270E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93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就读院校及专业</w:t>
            </w:r>
          </w:p>
        </w:tc>
        <w:tc>
          <w:tcPr>
            <w:tcW w:w="317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C5F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04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入学年月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CD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ED6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522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19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监护方及联系方式</w:t>
            </w:r>
          </w:p>
        </w:tc>
      </w:tr>
      <w:tr w14:paraId="34F2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D1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0B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6ED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  <w:p w14:paraId="0193D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姓      名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492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785A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5B8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D7B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987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23D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316B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522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E7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助学金发放情况</w:t>
            </w:r>
          </w:p>
        </w:tc>
      </w:tr>
      <w:tr w14:paraId="6095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280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领取方式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4A5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银行转账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E2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起领年月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98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AF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领取人</w:t>
            </w:r>
          </w:p>
          <w:p w14:paraId="6AD70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（开户人）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F0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（应为孤儿、事实无人抚养儿童本人）</w:t>
            </w:r>
          </w:p>
        </w:tc>
      </w:tr>
      <w:tr w14:paraId="0094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FEC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E71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4C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银行账号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CC4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B27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608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申请人承诺</w:t>
            </w:r>
          </w:p>
        </w:tc>
      </w:tr>
      <w:tr w14:paraId="748A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9" w:hRule="atLeast"/>
        </w:trPr>
        <w:tc>
          <w:tcPr>
            <w:tcW w:w="852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1B4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4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  <w:p w14:paraId="418EC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40" w:lineRule="atLeast"/>
              <w:ind w:left="0" w:right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本人于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日向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申请“福彩圆梦·孤儿助学工程”项目资助，并郑重承诺所提交的身份证复印件、学籍证明等材料，以及本表所填内容均真实有效，如有伪造，愿退回所领助学金，并承担相应法律责任。</w:t>
            </w:r>
          </w:p>
          <w:p w14:paraId="1E3C8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6" w:afterAutospacing="0" w:line="440" w:lineRule="atLeast"/>
              <w:ind w:left="0" w:right="0" w:firstLine="480"/>
              <w:jc w:val="righ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申请人：　　　　　　</w:t>
            </w:r>
          </w:p>
          <w:p w14:paraId="4FFC6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6" w:afterAutospacing="0" w:line="440" w:lineRule="atLeast"/>
              <w:ind w:left="0" w:right="0" w:firstLine="48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年     月     日　</w:t>
            </w:r>
          </w:p>
        </w:tc>
      </w:tr>
      <w:tr w14:paraId="37A2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626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受理申请民政部门审批意见</w:t>
            </w:r>
          </w:p>
        </w:tc>
        <w:tc>
          <w:tcPr>
            <w:tcW w:w="762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001B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8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  <w:p w14:paraId="2A048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8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A663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经核实确认，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　　　　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“福彩圆梦·孤儿助学工程”资助条件，同意纳入“助学工程”，予以发放助学金。</w:t>
            </w:r>
          </w:p>
          <w:p w14:paraId="6EFBA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　　（单位盖章）　　　</w:t>
            </w:r>
          </w:p>
          <w:p w14:paraId="31AD7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　年      月     日</w:t>
            </w:r>
          </w:p>
        </w:tc>
      </w:tr>
    </w:tbl>
    <w:p w14:paraId="55592AB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“福彩圆梦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孤儿助学工程”助学金申请表</w:t>
      </w:r>
    </w:p>
    <w:p w14:paraId="3EA850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center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(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散居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事实无人抚养儿童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 w14:paraId="7E3D71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56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595"/>
        <w:gridCol w:w="413"/>
        <w:gridCol w:w="708"/>
        <w:gridCol w:w="92"/>
        <w:gridCol w:w="810"/>
        <w:gridCol w:w="390"/>
        <w:gridCol w:w="416"/>
        <w:gridCol w:w="771"/>
        <w:gridCol w:w="775"/>
        <w:gridCol w:w="657"/>
        <w:gridCol w:w="275"/>
        <w:gridCol w:w="1704"/>
      </w:tblGrid>
      <w:tr w14:paraId="1562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AE5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儿童基本情况</w:t>
            </w:r>
          </w:p>
        </w:tc>
      </w:tr>
      <w:tr w14:paraId="1501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03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A66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5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4D2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7BB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ECA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50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（1寸照片）</w:t>
            </w:r>
          </w:p>
        </w:tc>
      </w:tr>
      <w:tr w14:paraId="22B5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AB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04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53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71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25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24BE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9D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64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23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534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3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4BD1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5F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现家庭住址</w:t>
            </w:r>
          </w:p>
        </w:tc>
        <w:tc>
          <w:tcPr>
            <w:tcW w:w="530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3B1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85D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5233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AD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就读院校及专业</w:t>
            </w:r>
          </w:p>
        </w:tc>
        <w:tc>
          <w:tcPr>
            <w:tcW w:w="31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42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5B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入学年月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92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894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522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94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监护人及联系方式</w:t>
            </w:r>
          </w:p>
        </w:tc>
      </w:tr>
      <w:tr w14:paraId="69F2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5F5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与儿童关系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D7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18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06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8A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0F20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E2A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E2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8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DD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340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357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97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CA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8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39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075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CA4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22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3B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助学金发放情况</w:t>
            </w:r>
          </w:p>
        </w:tc>
      </w:tr>
      <w:tr w14:paraId="33C0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769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领取方式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78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银行转账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9DB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起领年月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D3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4F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领取人年月（开户人）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C62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（应为事实无人抚养儿童本人）</w:t>
            </w:r>
          </w:p>
        </w:tc>
      </w:tr>
      <w:tr w14:paraId="6259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73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24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A4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92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银行账号</w:t>
            </w:r>
          </w:p>
        </w:tc>
        <w:tc>
          <w:tcPr>
            <w:tcW w:w="3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47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 w14:paraId="63779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30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申请人承诺</w:t>
            </w:r>
          </w:p>
        </w:tc>
      </w:tr>
      <w:tr w14:paraId="5B76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8522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FB24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40" w:lineRule="atLeast"/>
              <w:ind w:left="0" w:right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30D9E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40" w:lineRule="atLeast"/>
              <w:ind w:left="0" w:right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本人于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日向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申请“福彩圆梦·孤儿助学工程”项目资助，并郑重承诺所提交的身份证复印件、学籍证明等材料，以及本表所填内容均真实有效，如有伪造，愿退回所领助学金，并承担相应法律责任。</w:t>
            </w:r>
          </w:p>
          <w:p w14:paraId="7B3F1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40" w:lineRule="atLeast"/>
              <w:ind w:left="0" w:right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12879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40" w:lineRule="atLeast"/>
              <w:ind w:left="0" w:right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6746F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6" w:afterAutospacing="0" w:line="440" w:lineRule="atLeast"/>
              <w:ind w:left="0" w:right="0" w:firstLine="420"/>
              <w:jc w:val="right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申请人：      　　　　　　</w:t>
            </w:r>
          </w:p>
          <w:p w14:paraId="79835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6" w:beforeAutospacing="0" w:after="156" w:afterAutospacing="0" w:line="44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      月      日　</w:t>
            </w:r>
          </w:p>
        </w:tc>
      </w:tr>
      <w:tr w14:paraId="3477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4E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受理申请民政部门审批意见</w:t>
            </w:r>
          </w:p>
        </w:tc>
        <w:tc>
          <w:tcPr>
            <w:tcW w:w="760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5CE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8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1963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经核实确认，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　　　　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符合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“福彩圆梦·孤儿助学工程”资助条件，同意纳入“助学工程”，予以发放助学金。</w:t>
            </w:r>
          </w:p>
          <w:p w14:paraId="2106E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　　（单位盖章）　　　</w:t>
            </w:r>
          </w:p>
          <w:p w14:paraId="2887F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1" w:lineRule="atLeast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　年      月      日　　</w:t>
            </w:r>
          </w:p>
        </w:tc>
      </w:tr>
    </w:tbl>
    <w:p w14:paraId="4AAF6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 w:line="48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425" w:num="1"/>
          <w:docGrid w:type="lines" w:linePitch="312" w:charSpace="0"/>
        </w:sectPr>
      </w:pPr>
    </w:p>
    <w:p w14:paraId="42CEB1F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12D4A13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u w:val="thick"/>
          <w:lang w:val="en-US" w:eastAsia="zh-CN" w:bidi="ar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地（市）“助学工程”受助孤儿信息汇总表</w:t>
      </w:r>
    </w:p>
    <w:p w14:paraId="2CE0469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填报单位（盖章）：</w:t>
      </w:r>
    </w:p>
    <w:tbl>
      <w:tblPr>
        <w:tblStyle w:val="8"/>
        <w:tblW w:w="15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916"/>
        <w:gridCol w:w="1129"/>
        <w:gridCol w:w="704"/>
        <w:gridCol w:w="1543"/>
        <w:gridCol w:w="1122"/>
        <w:gridCol w:w="1824"/>
        <w:gridCol w:w="1162"/>
        <w:gridCol w:w="1162"/>
        <w:gridCol w:w="727"/>
        <w:gridCol w:w="1162"/>
        <w:gridCol w:w="1745"/>
        <w:gridCol w:w="1253"/>
        <w:gridCol w:w="885"/>
      </w:tblGrid>
      <w:tr w14:paraId="1CF9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A8D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1A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地（市）</w:t>
            </w:r>
          </w:p>
        </w:tc>
        <w:tc>
          <w:tcPr>
            <w:tcW w:w="11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9A3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名</w:t>
            </w:r>
          </w:p>
        </w:tc>
        <w:tc>
          <w:tcPr>
            <w:tcW w:w="7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29D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5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48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11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DA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儿童类别</w:t>
            </w:r>
          </w:p>
        </w:tc>
        <w:tc>
          <w:tcPr>
            <w:tcW w:w="18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6C1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就读院校及专业</w:t>
            </w:r>
          </w:p>
        </w:tc>
        <w:tc>
          <w:tcPr>
            <w:tcW w:w="11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887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入学年月</w:t>
            </w:r>
          </w:p>
        </w:tc>
        <w:tc>
          <w:tcPr>
            <w:tcW w:w="11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4A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教育层次</w:t>
            </w:r>
          </w:p>
        </w:tc>
        <w:tc>
          <w:tcPr>
            <w:tcW w:w="72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13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学制</w:t>
            </w:r>
          </w:p>
        </w:tc>
        <w:tc>
          <w:tcPr>
            <w:tcW w:w="29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3E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助学金发放</w:t>
            </w:r>
          </w:p>
        </w:tc>
        <w:tc>
          <w:tcPr>
            <w:tcW w:w="12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1B2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联系电话（手机）</w:t>
            </w:r>
          </w:p>
        </w:tc>
        <w:tc>
          <w:tcPr>
            <w:tcW w:w="8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49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88C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D0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89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BA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03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1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EA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5F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C4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6B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3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FC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起领年月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4CC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-16"/>
                <w:kern w:val="0"/>
                <w:sz w:val="20"/>
                <w:szCs w:val="20"/>
                <w:lang w:val="en-US" w:eastAsia="zh-CN" w:bidi="ar"/>
              </w:rPr>
              <w:t>终止年月及原因</w:t>
            </w:r>
          </w:p>
        </w:tc>
        <w:tc>
          <w:tcPr>
            <w:tcW w:w="12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04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18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 w14:paraId="5D4A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83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00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EA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66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92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9668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B2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CFE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6A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F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34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98D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B9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F7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77A2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70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65E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85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2E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B14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1B0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FB62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BBC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9D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4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C9B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1B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1CB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7E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75C1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324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09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53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6C2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45C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EA8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7D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BAD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A16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6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B0D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30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3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9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51A5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5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918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4FA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A3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46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9B6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51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96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3C8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8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1D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8F3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1A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8FC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55CA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CB3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8C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C2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B0A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A70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EC9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BD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E5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8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C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14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E68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B1D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BA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00B0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B2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9A9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EC2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411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02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C53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0E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34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85A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9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3AA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29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B9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C86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5CF2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8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15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　填报人：　　　　　　　　　　　　联系电话：</w:t>
            </w:r>
          </w:p>
          <w:p w14:paraId="1829A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填表说明：①儿童类别，分为“孤儿”“机构临时监护事实无人抚养儿童”“散居事实无人抚养儿童”；</w:t>
            </w:r>
          </w:p>
          <w:p w14:paraId="13EEBB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 w:firstLine="1100" w:firstLineChars="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②教育层次，分为“硕士研究生”“本科”“大专（或高职）”“中专（或职高）”；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  <w:lang w:val="en-US" w:eastAsia="zh-CN" w:bidi="ar"/>
              </w:rPr>
              <w:t>　</w:t>
            </w:r>
          </w:p>
          <w:p w14:paraId="2541B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240" w:lineRule="exact"/>
              <w:ind w:left="0" w:right="0" w:firstLine="1100" w:firstLineChars="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lang w:val="en-US" w:eastAsia="zh-CN" w:bidi="ar"/>
              </w:rPr>
              <w:t>③终止发放助学金的原因若为退学、开除学籍等非正常毕业，需注明退学、开除学籍等原因。</w:t>
            </w:r>
          </w:p>
        </w:tc>
      </w:tr>
    </w:tbl>
    <w:p w14:paraId="6FB84EB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72AB26D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3</w:t>
      </w:r>
    </w:p>
    <w:tbl>
      <w:tblPr>
        <w:tblStyle w:val="8"/>
        <w:tblpPr w:vertAnchor="text" w:tblpXSpec="left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954"/>
        <w:gridCol w:w="991"/>
        <w:gridCol w:w="991"/>
        <w:gridCol w:w="729"/>
        <w:gridCol w:w="1112"/>
        <w:gridCol w:w="991"/>
        <w:gridCol w:w="992"/>
        <w:gridCol w:w="1276"/>
      </w:tblGrid>
      <w:tr w14:paraId="41F8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931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71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u w:val="thick"/>
                <w:lang w:val="en-US" w:eastAsia="zh-CN" w:bidi="ar"/>
              </w:rPr>
              <w:t xml:space="preserve">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地（市）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“助学工程”补助</w:t>
            </w:r>
          </w:p>
          <w:p w14:paraId="45CC1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资金需求汇总表</w:t>
            </w:r>
          </w:p>
          <w:p w14:paraId="548F26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30"/>
                <w:szCs w:val="30"/>
                <w:lang w:val="en-US" w:eastAsia="zh-CN" w:bidi="ar"/>
              </w:rPr>
              <w:t>（　　　年度）</w:t>
            </w:r>
          </w:p>
        </w:tc>
      </w:tr>
      <w:tr w14:paraId="4974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1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425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填报单位（盖章）：　　　　　　　　　　　　                     　　单位：万元、人</w:t>
            </w:r>
          </w:p>
        </w:tc>
      </w:tr>
      <w:tr w14:paraId="5C01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7FA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地（市）</w:t>
            </w:r>
          </w:p>
        </w:tc>
        <w:tc>
          <w:tcPr>
            <w:tcW w:w="366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77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上一年度</w:t>
            </w:r>
          </w:p>
        </w:tc>
        <w:tc>
          <w:tcPr>
            <w:tcW w:w="437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96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本年度</w:t>
            </w:r>
          </w:p>
        </w:tc>
      </w:tr>
      <w:tr w14:paraId="01C1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7A9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35C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收到助学金总额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92E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实际补助人数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4C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助学金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使用情况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5D1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本年度预计需补助人数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F46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助学金预算数</w:t>
            </w:r>
          </w:p>
        </w:tc>
      </w:tr>
      <w:tr w14:paraId="4A65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2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84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ADF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0A6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ED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缺口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12EF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节余</w:t>
            </w:r>
          </w:p>
        </w:tc>
        <w:tc>
          <w:tcPr>
            <w:tcW w:w="11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61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FDD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027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当年需求数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4F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上一年度缺口</w:t>
            </w:r>
            <w:r>
              <w:rPr>
                <w:rFonts w:hint="default" w:ascii="å®‹ä½“" w:hAnsi="å®‹ä½“" w:eastAsia="å®‹ä½“" w:cs="å®‹ä½“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节余数</w:t>
            </w:r>
          </w:p>
          <w:p w14:paraId="1FB938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F76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3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4F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ADB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4C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E9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6D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86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35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29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7E56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BC7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E37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BE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1ED2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4B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E43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39D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755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0EF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7D6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39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33E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2DF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B00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033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99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30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EB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D58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01C0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72A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A5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17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16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4B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405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4C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B9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0A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 w14:paraId="6A8B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6C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74A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834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85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1A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9E5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21F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8F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AF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4A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A4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162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DD2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75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B6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21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5F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BA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3D4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21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2F6A7DE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联系方式：            </w:t>
      </w:r>
    </w:p>
    <w:p w14:paraId="713A78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填表日期：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日</w:t>
      </w:r>
    </w:p>
    <w:p w14:paraId="57B8EBE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å®‹ä½“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F99A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1C4C6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1C4C6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YzAxOTllYmUzYzVmMTZiNDdkZDE0Yzc0NWJhYTQifQ=="/>
  </w:docVars>
  <w:rsids>
    <w:rsidRoot w:val="2D810259"/>
    <w:rsid w:val="07E30C23"/>
    <w:rsid w:val="137FEB18"/>
    <w:rsid w:val="1FE74577"/>
    <w:rsid w:val="1FEBC437"/>
    <w:rsid w:val="1FF5A4B1"/>
    <w:rsid w:val="2D810259"/>
    <w:rsid w:val="329E5546"/>
    <w:rsid w:val="36F17375"/>
    <w:rsid w:val="3D6D078B"/>
    <w:rsid w:val="3D9807C5"/>
    <w:rsid w:val="3E37D037"/>
    <w:rsid w:val="3F0F1B27"/>
    <w:rsid w:val="3FB62B33"/>
    <w:rsid w:val="3FE7C6BB"/>
    <w:rsid w:val="3FF11C05"/>
    <w:rsid w:val="4D1FD114"/>
    <w:rsid w:val="52FEE27E"/>
    <w:rsid w:val="57EFCF98"/>
    <w:rsid w:val="5E530BB0"/>
    <w:rsid w:val="5F5F8DD8"/>
    <w:rsid w:val="5F67C510"/>
    <w:rsid w:val="5FBF5C8A"/>
    <w:rsid w:val="5FFADB59"/>
    <w:rsid w:val="722F8011"/>
    <w:rsid w:val="73CE7DDF"/>
    <w:rsid w:val="73EEB680"/>
    <w:rsid w:val="747FE2E1"/>
    <w:rsid w:val="756F3013"/>
    <w:rsid w:val="76AB6464"/>
    <w:rsid w:val="76C75889"/>
    <w:rsid w:val="79DDBAB7"/>
    <w:rsid w:val="79EF42F8"/>
    <w:rsid w:val="7C9BE9CE"/>
    <w:rsid w:val="7C9F0BCC"/>
    <w:rsid w:val="7D975010"/>
    <w:rsid w:val="7FFE08B7"/>
    <w:rsid w:val="89DFCD56"/>
    <w:rsid w:val="9CE797C1"/>
    <w:rsid w:val="A7C10185"/>
    <w:rsid w:val="B3DB8319"/>
    <w:rsid w:val="BA7B23C6"/>
    <w:rsid w:val="BDEE8519"/>
    <w:rsid w:val="BEB70A73"/>
    <w:rsid w:val="BF7E4FAB"/>
    <w:rsid w:val="BFDD95C7"/>
    <w:rsid w:val="BFDF386C"/>
    <w:rsid w:val="CBEF2FD2"/>
    <w:rsid w:val="CEFDC275"/>
    <w:rsid w:val="D5AF78F6"/>
    <w:rsid w:val="DF7DE686"/>
    <w:rsid w:val="E7FEBDA5"/>
    <w:rsid w:val="EF56BB09"/>
    <w:rsid w:val="EF7E6E5C"/>
    <w:rsid w:val="EFEDC579"/>
    <w:rsid w:val="F1DE0F78"/>
    <w:rsid w:val="F3BF29EC"/>
    <w:rsid w:val="F6FF0286"/>
    <w:rsid w:val="F9FFAD2A"/>
    <w:rsid w:val="FAD5541C"/>
    <w:rsid w:val="FBBF5499"/>
    <w:rsid w:val="FDBFAE36"/>
    <w:rsid w:val="FDDAA8B4"/>
    <w:rsid w:val="FEBB5B18"/>
    <w:rsid w:val="FEECBE19"/>
    <w:rsid w:val="FFD7FA1E"/>
    <w:rsid w:val="FFD99FDE"/>
    <w:rsid w:val="FFF93FDF"/>
    <w:rsid w:val="FFFBF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link w:val="15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3">
    <w:name w:val="正文首行缩进 21"/>
    <w:basedOn w:val="14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4">
    <w:name w:val="正文文本缩进1"/>
    <w:basedOn w:val="1"/>
    <w:qFormat/>
    <w:uiPriority w:val="0"/>
    <w:pPr>
      <w:spacing w:line="150" w:lineRule="atLeast"/>
      <w:textAlignment w:val="baseline"/>
    </w:pPr>
    <w:rPr>
      <w:rFonts w:cs="Times New Roman"/>
    </w:rPr>
  </w:style>
  <w:style w:type="character" w:customStyle="1" w:styleId="15">
    <w:name w:val="NormalCharacter"/>
    <w:link w:val="2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2023-11-22T02:03:00Z</dcterms:created>
  <dc:creator>WPS_1500888134</dc:creator>
  <cp:lastModifiedBy>user</cp:lastModifiedBy>
  <cp:lastPrinted>2024-03-26T00:45:00Z</cp:lastPrinted>
  <dcterms:modified xsi:type="dcterms:W3CDTF">2026-01-13T16:58:13Z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925F4AE92A1C511F250966694DE698D5_43</vt:lpwstr>
  </property>
</Properties>
</file>